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БРЯНСКОЙ ОБЛАСТИ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ноября 2012 г. N 1098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 СЕЛЬСКОХОЗЯЙСТВЕННЫМ ТОВАРОПРОИЗВОДИТЕЛЯМ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РЕАЛИЗАЦИИ МЕРОПРИЯТИЙ, НАПРАВЛЕННЫХ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ПРЕДОТВРАЩЕНИЕ ЗАНОСА И РАСПРОСТРАНЕНИЯ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АФРИКАНСКОЙ ЧУМЫ СВИНЕЙ, В РАМКАХ ПРОГРАММЫ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"ПРЕДОТВРАЩЕНИЕ ЗАНОСА И РАСПРОСТРАНЕНИЯ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АФРИКАНСКОЙ ЧУМЫ СВИНЕЙ (АЧС) НА ТЕРРИТОРИИ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БРЯНСКОЙ ОБЛАСТИ" (2012 - 2016 ГОДЫ)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Брянской области</w:t>
      </w:r>
      <w:proofErr w:type="gramEnd"/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20.12.2012 N 1192)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2010 года N 1042 "Об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Федерации" постановляю: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сельскохозяйственным товаропроизводителям для реализации мероприятий, направленных на предотвращение заноса и распространения африканской чумы свиней, в рамках программы "Предотвращение заноса и распространения африканской чумы свиней (АЧС) на территории Брянской области" (2012 - 2016 годы).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временно исполняющего обязанности заместителя Губернатора Брянской области - председателя комитета по сельскому хозяйству и продовольствию Брянской области Симоненко Н.К.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Н.В.ДЕНИН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Брянской области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2012 г. N 1098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ПОРЯДОК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субсидий </w:t>
      </w:r>
      <w:proofErr w:type="gramStart"/>
      <w:r>
        <w:rPr>
          <w:rFonts w:ascii="Calibri" w:hAnsi="Calibri" w:cs="Calibri"/>
          <w:b/>
          <w:bCs/>
        </w:rPr>
        <w:t>сельскохозяйственным</w:t>
      </w:r>
      <w:proofErr w:type="gramEnd"/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товаропроизводителям для реализации мероприятий,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направленных</w:t>
      </w:r>
      <w:proofErr w:type="gramEnd"/>
      <w:r>
        <w:rPr>
          <w:rFonts w:ascii="Calibri" w:hAnsi="Calibri" w:cs="Calibri"/>
          <w:b/>
          <w:bCs/>
        </w:rPr>
        <w:t xml:space="preserve"> на предотвращение заноса и распространения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африканской чумы свиней, в рамках программы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"Предотвращение заноса и распространения африканской чумы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свиней (АЧС) на территории Брянской области"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(2012 - 2016 годы)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Брянской области</w:t>
      </w:r>
      <w:proofErr w:type="gramEnd"/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20.12.2012 N 1192)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Порядок регламентирует предоставление субсидий сельскохозяйственным товаропроизводителям Брянской области (далее - товаропроизводители) для реализации мероприятий по </w:t>
      </w:r>
      <w:hyperlink r:id="rId7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"Предотвращение заноса и распространения африканской чумы свиней (АЧС) на территории Брянской области" (2012 - 2016 годы) и определяет критерии отбора сельскохозяйственных товаропроизводителей,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предоставлении.</w:t>
      </w:r>
      <w:proofErr w:type="gramEnd"/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Субсидии по программе "Предотвращение заноса и распространения африканской чумы свиней (АЧС) на территории Брянской области" (2012 - 2016 годы) предоставляются в пределах бюджетных ассигнований на очередной финансовый год на реализацию </w:t>
      </w:r>
      <w:hyperlink r:id="rId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"Предотвращение заноса и распространения африканской чумы свиней (АЧС) на территории Брянской области" (2012 - 2016 годы) (далее - программа).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Субсидии предоставляются товаропроизводителям в целях возмещения затрат, произведенных в рамках программы для реализации мероприятий, направленных на предотвращение заноса и распространения африканской чумы свиней на территории Брянской области, по следующим мероприятиям программы: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9"/>
      <w:bookmarkEnd w:id="1"/>
      <w:r>
        <w:rPr>
          <w:rFonts w:ascii="Calibri" w:hAnsi="Calibri" w:cs="Calibri"/>
        </w:rPr>
        <w:t xml:space="preserve">2.1. Модернизация ветеринарных лабораторий (согласно </w:t>
      </w:r>
      <w:hyperlink w:anchor="Par106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Порядку). Субсидии предоставляются товаропроизводителям в пределах лимитов бюджетных обязательств на возмещение затрат по приобретению лабораторного оборудования.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0"/>
      <w:bookmarkEnd w:id="2"/>
      <w:r>
        <w:rPr>
          <w:rFonts w:ascii="Calibri" w:hAnsi="Calibri" w:cs="Calibri"/>
        </w:rPr>
        <w:t>2.2. Проведение комплекса мероприятий по замене свиней в личных подсобных хозяйствах граждан, крестьянских (фермерских) хозяйствах, у индивидуальных предпринимателей на альтернативные виды животных. Субсидии предоставляются товаропроизводителям в пределах лимитов бюджетных обязательств на реализацию данного мероприятия.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Получателями субсидий являются граждане, проживающие на территории Брянской области, ведущие личное подсобное хозяйство, граждане, являющиеся главами крестьянских (фермерских) хозяйств, индивидуальные предприниматели, осуществляющие деятельность по содержанию и разведению свиней, в соответствии с действующим законодательством (далее - получатели).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Субсидия на возмещение части затрат на приобретение альтернативных свиноводству видов сельскохозяйственных животных (звероводство, козоводство, скотоводство, овцеводство, птицеводство) устанавливается в сумме 10 тысяч рублей на условную голову скота, но не более фактически израсходованных средств на приобретение.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 xml:space="preserve">2.2.3. Получатель субсидии представляет в комитет с заявлением на возмещение части затрат на приобретенные альтернативные свиноводству виды сельскохозяйственных животных выписки из </w:t>
      </w:r>
      <w:proofErr w:type="spellStart"/>
      <w:r>
        <w:rPr>
          <w:rFonts w:ascii="Calibri" w:hAnsi="Calibri" w:cs="Calibri"/>
        </w:rPr>
        <w:t>похозяйственной</w:t>
      </w:r>
      <w:proofErr w:type="spellEnd"/>
      <w:r>
        <w:rPr>
          <w:rFonts w:ascii="Calibri" w:hAnsi="Calibri" w:cs="Calibri"/>
        </w:rPr>
        <w:t xml:space="preserve"> книги, заверенные администрациями городских (сельских) поселений по месту нахождения, на 1 января текущего года и момент представления заявления, реквизиты </w:t>
      </w:r>
      <w:proofErr w:type="gramStart"/>
      <w:r>
        <w:rPr>
          <w:rFonts w:ascii="Calibri" w:hAnsi="Calibri" w:cs="Calibri"/>
        </w:rPr>
        <w:t>К(</w:t>
      </w:r>
      <w:proofErr w:type="gramEnd"/>
      <w:r>
        <w:rPr>
          <w:rFonts w:ascii="Calibri" w:hAnsi="Calibri" w:cs="Calibri"/>
        </w:rPr>
        <w:t xml:space="preserve">Ф)Х и ИП (адрес регистрации, фактический адрес, копия свидетельства о внесении записи в единый государственный реестр индивидуальных предпринимателей, </w:t>
      </w:r>
      <w:proofErr w:type="gramStart"/>
      <w:r>
        <w:rPr>
          <w:rFonts w:ascii="Calibri" w:hAnsi="Calibri" w:cs="Calibri"/>
        </w:rPr>
        <w:t xml:space="preserve">номер расчетного счета, открытого ими в кредитных организациях, ИНН) и документы, подтверждающие фактическую реализацию </w:t>
      </w:r>
      <w:proofErr w:type="spellStart"/>
      <w:r>
        <w:rPr>
          <w:rFonts w:ascii="Calibri" w:hAnsi="Calibri" w:cs="Calibri"/>
        </w:rPr>
        <w:t>свинопоголовья</w:t>
      </w:r>
      <w:proofErr w:type="spellEnd"/>
      <w:r>
        <w:rPr>
          <w:rFonts w:ascii="Calibri" w:hAnsi="Calibri" w:cs="Calibri"/>
        </w:rPr>
        <w:t xml:space="preserve"> (копии договора купли-продажи, накладной на приемку скота, копию документа, подтверждающего фактическое получение денежных средств за реализованное </w:t>
      </w:r>
      <w:proofErr w:type="spellStart"/>
      <w:r>
        <w:rPr>
          <w:rFonts w:ascii="Calibri" w:hAnsi="Calibri" w:cs="Calibri"/>
        </w:rPr>
        <w:t>свинопоголовье</w:t>
      </w:r>
      <w:proofErr w:type="spellEnd"/>
      <w:r>
        <w:rPr>
          <w:rFonts w:ascii="Calibri" w:hAnsi="Calibri" w:cs="Calibri"/>
        </w:rPr>
        <w:t>, - копию корешка расходного кассового ордера), а также документы, подтверждающие фактическое приобретение животных (копии договора купли-продажи, накладной, платежных поручений, заверенные кредитной организацией;</w:t>
      </w:r>
      <w:proofErr w:type="gramEnd"/>
      <w:r>
        <w:rPr>
          <w:rFonts w:ascii="Calibri" w:hAnsi="Calibri" w:cs="Calibri"/>
        </w:rPr>
        <w:t xml:space="preserve"> копии кассового чека и товарного чека, корешка квитанции об оплате (при расчете наличными деньгами)).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 xml:space="preserve">2.3. Приобретение мобильных лабораторно-диагностических модулей (согласно </w:t>
      </w:r>
      <w:hyperlink w:anchor="Par130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Порядку). Субсидии предоставляются товаропроизводителям в пределах лимитов бюджетных обязательств на возмещение затрат по приобретению мобильных лабораторно-диагностических модулей.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 xml:space="preserve">2.4. Модернизация системы утилизации биологических отходов (согласно </w:t>
      </w:r>
      <w:hyperlink w:anchor="Par153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Порядку). Субсидии предоставляются товаропроизводителям в пределах лимитов </w:t>
      </w:r>
      <w:r>
        <w:rPr>
          <w:rFonts w:ascii="Calibri" w:hAnsi="Calibri" w:cs="Calibri"/>
        </w:rPr>
        <w:lastRenderedPageBreak/>
        <w:t>бюджетных обязательств на возмещение затрат по приобретению высокотехнологичного оборудования в целях модернизации системы утилизации биологических отходов.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2.4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Брянской области от 20.12.2012 N 1192)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 xml:space="preserve">2.5. Внедрение и поддержание системы электронного учета идентификации животных (согласно </w:t>
      </w:r>
      <w:hyperlink w:anchor="Par180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Порядку). Субсидии предоставляются товаропроизводителям в пределах лимитов бюджетных обязательств на возмещение затрат по приобретению, внедрению и поддержанию информационно-аналитической системы учета идентификации животных, в целях автоматизации учета животных и получения актуальных сведений и численности зарегистрированного поголовья животных.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Субсидии на мероприятия программы, предусмотренные в </w:t>
      </w:r>
      <w:hyperlink w:anchor="Par49" w:history="1">
        <w:r>
          <w:rPr>
            <w:rFonts w:ascii="Calibri" w:hAnsi="Calibri" w:cs="Calibri"/>
            <w:color w:val="0000FF"/>
          </w:rPr>
          <w:t>подпунктах 2.1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 настоящего Порядка, предоставляются товаропроизводителям в размере 100% от суммы понесенных затрат, но не более утвержденных лимитов бюджетных обязательств, предусмотренных на данные мероприятия.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Субсидии предоставляются товаропроизводителям при условии, что товаропроизводителями своевременно и в полном объеме представлены документы, предусмотренные в </w:t>
      </w:r>
      <w:hyperlink w:anchor="Par53" w:history="1">
        <w:r>
          <w:rPr>
            <w:rFonts w:ascii="Calibri" w:hAnsi="Calibri" w:cs="Calibri"/>
            <w:color w:val="0000FF"/>
          </w:rPr>
          <w:t>подпункте 2.2.3</w:t>
        </w:r>
      </w:hyperlink>
      <w:r>
        <w:rPr>
          <w:rFonts w:ascii="Calibri" w:hAnsi="Calibri" w:cs="Calibri"/>
        </w:rPr>
        <w:t xml:space="preserve"> и </w:t>
      </w:r>
      <w:hyperlink w:anchor="Par68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Критерии отбора товаропроизводителей, имеющих право на получение субсидий в рамках мероприятий, предусмотренных настоящим Порядком.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Субсидии предоставляются юридическим и физическим лицам, имеющим статус сельскохозяйственного товаропроизводителя,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29 декабря 2006 года N 264-ФЗ "О развитии сельского хозяйства".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После представления управлением ветеринарии Брянской области (далее - управление) и комитетом по сельскому хозяйству и продовольствию Брянской области (далее - комитет) документов, предусмотренных </w:t>
      </w:r>
      <w:hyperlink w:anchor="Par53" w:history="1">
        <w:r>
          <w:rPr>
            <w:rFonts w:ascii="Calibri" w:hAnsi="Calibri" w:cs="Calibri"/>
            <w:color w:val="0000FF"/>
          </w:rPr>
          <w:t>подпунктом 2.2.3</w:t>
        </w:r>
      </w:hyperlink>
      <w:r>
        <w:rPr>
          <w:rFonts w:ascii="Calibri" w:hAnsi="Calibri" w:cs="Calibri"/>
        </w:rPr>
        <w:t xml:space="preserve"> и </w:t>
      </w:r>
      <w:hyperlink w:anchor="Par68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Порядка, координационно-консультативный совет по проблемам АПК при вице-губернаторе Брянской области (далее - координационно-консультативный совет), </w:t>
      </w:r>
      <w:hyperlink r:id="rId1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котором утверждено Постановлением администрации области от 27 января 2011 года N 43 "О координационно-консультативном совете по проблемам АПК</w:t>
      </w:r>
      <w:proofErr w:type="gramEnd"/>
      <w:r>
        <w:rPr>
          <w:rFonts w:ascii="Calibri" w:hAnsi="Calibri" w:cs="Calibri"/>
        </w:rPr>
        <w:t xml:space="preserve"> при вице-губернаторе Брянской области", рассматривает представленные документы и утверждает реестр товаропроизводителей - получателей субсидий.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управление Брянской области выделяет средства на выплату субсидий товаропроизводителям в порядке, установленном для исполнения областного бюджета (на основании заявки, в соответствии со сводной бюджетной росписью областного бюджета на соответствующий год). Для распределения субсидий в каждом году реализации программы принимаются фактические затраты соответствующего года, произведенные на момент распределения субсидий.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6. Главным распорядителем бюджетных средств по вышеуказанным расходам являются: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По мероприятиям программы, указанным в </w:t>
      </w:r>
      <w:hyperlink w:anchor="Par50" w:history="1">
        <w:r>
          <w:rPr>
            <w:rFonts w:ascii="Calibri" w:hAnsi="Calibri" w:cs="Calibri"/>
            <w:color w:val="0000FF"/>
          </w:rPr>
          <w:t>подпункте 2.2</w:t>
        </w:r>
      </w:hyperlink>
      <w:r>
        <w:rPr>
          <w:rFonts w:ascii="Calibri" w:hAnsi="Calibri" w:cs="Calibri"/>
        </w:rPr>
        <w:t xml:space="preserve"> настоящего Порядка, - комитет, который организует работу по предоставлению субсидий сельскохозяйственным товаропроизводителям в рамках соответствующих мероприятий.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По мероприятиям программы, указанным в </w:t>
      </w:r>
      <w:hyperlink w:anchor="Par49" w:history="1">
        <w:r>
          <w:rPr>
            <w:rFonts w:ascii="Calibri" w:hAnsi="Calibri" w:cs="Calibri"/>
            <w:color w:val="0000FF"/>
          </w:rPr>
          <w:t>подпунктах 2.1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 настоящего Порядка, - управление, которое организует работу по предоставлению субсидий сельскохозяйственным товаропроизводителям в рамках соответствующих мероприятий.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Финансовое управление Брянской области осуществляет финансирование комитета и управления на основании заявок, в соответствии со сводной бюджетной росписью на очередной финансовый год.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8"/>
      <w:bookmarkEnd w:id="8"/>
      <w:r>
        <w:rPr>
          <w:rFonts w:ascii="Calibri" w:hAnsi="Calibri" w:cs="Calibri"/>
        </w:rPr>
        <w:t>8. Порядок предоставления субсидий.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Товаропроизводители, претендующие на получение субсидий, в рамках реализации мероприятий, предусмотренных </w:t>
      </w:r>
      <w:hyperlink w:anchor="Par50" w:history="1">
        <w:r>
          <w:rPr>
            <w:rFonts w:ascii="Calibri" w:hAnsi="Calibri" w:cs="Calibri"/>
            <w:color w:val="0000FF"/>
          </w:rPr>
          <w:t>подпунктом 2.2</w:t>
        </w:r>
      </w:hyperlink>
      <w:r>
        <w:rPr>
          <w:rFonts w:ascii="Calibri" w:hAnsi="Calibri" w:cs="Calibri"/>
        </w:rPr>
        <w:t xml:space="preserve"> настоящего Порядка, представляют в комитет, </w:t>
      </w:r>
      <w:hyperlink w:anchor="Par49" w:history="1">
        <w:r>
          <w:rPr>
            <w:rFonts w:ascii="Calibri" w:hAnsi="Calibri" w:cs="Calibri"/>
            <w:color w:val="0000FF"/>
          </w:rPr>
          <w:t>подпунктами 2.1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 настоящего Порядка, - в управление заявление о предоставлении субсидий в целях возмещения затрат по программе (далее - заявление), </w:t>
      </w:r>
      <w:hyperlink w:anchor="Par49" w:history="1">
        <w:r>
          <w:rPr>
            <w:rFonts w:ascii="Calibri" w:hAnsi="Calibri" w:cs="Calibri"/>
            <w:color w:val="0000FF"/>
          </w:rPr>
          <w:t>подпунктами 2.1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 настоящего Порядка, - </w:t>
      </w:r>
      <w:hyperlink w:anchor="Par203" w:history="1">
        <w:r>
          <w:rPr>
            <w:rFonts w:ascii="Calibri" w:hAnsi="Calibri" w:cs="Calibri"/>
            <w:color w:val="0000FF"/>
          </w:rPr>
          <w:t>справку-расчет</w:t>
        </w:r>
      </w:hyperlink>
      <w:r>
        <w:rPr>
          <w:rFonts w:ascii="Calibri" w:hAnsi="Calibri" w:cs="Calibri"/>
        </w:rPr>
        <w:t xml:space="preserve"> на предоставление субсидий по форме согласно приложению 5 к настоящему Порядку, подписанную руководителем и</w:t>
      </w:r>
      <w:proofErr w:type="gramEnd"/>
      <w:r>
        <w:rPr>
          <w:rFonts w:ascii="Calibri" w:hAnsi="Calibri" w:cs="Calibri"/>
        </w:rPr>
        <w:t xml:space="preserve"> главным бухгалтером, а также: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8.1. Документы, подтверждающие соответствие товаропроизводителя критериям отбора: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свидетельства о государственной регистрации юридического лица (не представляется физическими лицами, претендующими на получение субсидий);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информационного письма об учете в статистическом реестре территориального органа Федеральной службы государственной статистики по Брянской области (не представляется физическими лицами, претендующими на получение субсидий).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Документы, подтверждающие произведенные товаропроизводителем затраты по приобретению оборудования, информационно-аналитической системы учета, необходимых для реализации мероприятий программы, указанных в </w:t>
      </w:r>
      <w:hyperlink w:anchor="Par49" w:history="1">
        <w:r>
          <w:rPr>
            <w:rFonts w:ascii="Calibri" w:hAnsi="Calibri" w:cs="Calibri"/>
            <w:color w:val="0000FF"/>
          </w:rPr>
          <w:t>подпунктах 2.1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полной оплаты: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(контрактов) поставки;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счетов-фактур (при наличии НДС);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накладных, актов приемки-передачи;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исполнение платежных обязательств, в том числе платежных поручений, заверенных кредитной организацией;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частичной оплаты: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(контрактов) поставки;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исполнение платежных обязательств, в том числе платежных поручений, заверенных кредитной организацией;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счетов-фактур (при наличии НДС), накладных, актов приемки-передачи представляются товаропроизводителями по мере поставки оборудования, информационно-аналитической системы учета, необходимых для реализации мероприятий программы, указанных в </w:t>
      </w:r>
      <w:hyperlink w:anchor="Par49" w:history="1">
        <w:r>
          <w:rPr>
            <w:rFonts w:ascii="Calibri" w:hAnsi="Calibri" w:cs="Calibri"/>
            <w:color w:val="0000FF"/>
          </w:rPr>
          <w:t>подпунктах 2.1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 настоящего Порядка, но не позднее срока действия договора (контракта) на поставку соответствующих товаров.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Приобретенное оборудование, информационно-аналитическая система учета должны соответствовать </w:t>
      </w:r>
      <w:hyperlink w:anchor="Par106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- </w:t>
      </w:r>
      <w:hyperlink w:anchor="Par18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Порядку. В случае если такого соответствия нет, представленные затраты не принимаются к субсидированию.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Все копии представленных документов, кроме платежных поручений, должны быть заверены товаропроизводителем. Платежные поручения заверяются банком.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Ответственность за достоверность представленных документов, в том числе по целевому использованию бюджетных средств, несут товаропроизводители.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получении от товаропроизводителей документов, предусмотренных настоящим Порядком по мероприятиям программы, главными распорядителями которых являются комитет и управление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Порядка, в течение пяти рабочих дней комитет и управление проверяют полноту и достоверность представленных товаропроизводителями документов. После утверждения реестра координационно-консультативным советом с товаропроизводителем заключается соглашение о предоставлении субсидий по программе и при поступлении денежных средств </w:t>
      </w:r>
      <w:proofErr w:type="gramStart"/>
      <w:r>
        <w:rPr>
          <w:rFonts w:ascii="Calibri" w:hAnsi="Calibri" w:cs="Calibri"/>
        </w:rPr>
        <w:t>управление</w:t>
      </w:r>
      <w:proofErr w:type="gramEnd"/>
      <w:r>
        <w:rPr>
          <w:rFonts w:ascii="Calibri" w:hAnsi="Calibri" w:cs="Calibri"/>
        </w:rPr>
        <w:t xml:space="preserve"> и комитет направляют их товаропроизводителям - получателям субсидии на соответствующие расчетные счета.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Главные распорядители ежемесячно не позднее 20-го числа месяца, следующего за отчетным периодом, направляют в финансовое управление Брянской области отчет об использовании бюджетных средств.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нарушения условий, установленных при предоставлении субсидий в текущем финансовом году, возврат субсидий осуществляется на счета главных распорядителей бюджетных средств - комитета и управления. Главные распорядители перераспределяют эти средства на аналогичные цели другим сельскохозяйственным товаропроизводителям - получателям субсидий.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Возврат субсидий прошлых лет в случае нарушения условий, установленных при их предоставлении, осуществляется в доход областного бюджета.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бюджетных средств осуществляется управлением и комитетом.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сельскохозяйственным товаропроизводителям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мероприятий, направленных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предотвращение заноса и распространения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африканской чумы свиней, в рамках программы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"Предотвращение заноса и распространения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африканской чумы свиней (АЧС) на территории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Брянской области" (2012 - 2016 годы)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06"/>
      <w:bookmarkEnd w:id="9"/>
      <w:r>
        <w:rPr>
          <w:rFonts w:ascii="Calibri" w:hAnsi="Calibri" w:cs="Calibri"/>
          <w:b/>
          <w:bCs/>
        </w:rPr>
        <w:t>Перечень лабораторного оборудования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модернизации ветеринарных лабораторий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2012 году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</w:tblGrid>
      <w:tr w:rsidR="00FF25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товара     </w:t>
            </w:r>
          </w:p>
        </w:tc>
      </w:tr>
      <w:tr w:rsidR="00FF25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Лабораторное оборудование  </w:t>
            </w:r>
          </w:p>
        </w:tc>
      </w:tr>
    </w:tbl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сельскохозяйственным товаропроизводителям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мероприятий, направленных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предотвращение заноса и распространения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африканской чумы свиней, в рамках программы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"Предотвращение заноса и распространения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африканской чумы свиней (АЧС) на территории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Брянской области" (2012 - 2016 годы)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30"/>
      <w:bookmarkEnd w:id="10"/>
      <w:r>
        <w:rPr>
          <w:rFonts w:ascii="Calibri" w:hAnsi="Calibri" w:cs="Calibri"/>
          <w:b/>
          <w:bCs/>
        </w:rPr>
        <w:t xml:space="preserve">Перечень </w:t>
      </w:r>
      <w:proofErr w:type="gramStart"/>
      <w:r>
        <w:rPr>
          <w:rFonts w:ascii="Calibri" w:hAnsi="Calibri" w:cs="Calibri"/>
          <w:b/>
          <w:bCs/>
        </w:rPr>
        <w:t>мобильных</w:t>
      </w:r>
      <w:proofErr w:type="gramEnd"/>
      <w:r>
        <w:rPr>
          <w:rFonts w:ascii="Calibri" w:hAnsi="Calibri" w:cs="Calibri"/>
          <w:b/>
          <w:bCs/>
        </w:rPr>
        <w:t xml:space="preserve"> лабораторно-диагностических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модулей в 2012 году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0"/>
      </w:tblGrid>
      <w:tr w:rsidR="00FF25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товара                </w:t>
            </w:r>
          </w:p>
        </w:tc>
      </w:tr>
      <w:tr w:rsidR="00FF25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лабораторно-диагностический модуль </w:t>
            </w:r>
          </w:p>
        </w:tc>
      </w:tr>
    </w:tbl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сельскохозяйственным товаропроизводителям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мероприятий, направленных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предотвращение заноса и распространения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африканской чумы свиней, в рамках программы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"Предотвращение заноса и распространения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африканской чумы свиней (АЧС) на территории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Брянской области" (2012 - 2016 годы)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53"/>
      <w:bookmarkEnd w:id="11"/>
      <w:r>
        <w:rPr>
          <w:rFonts w:ascii="Calibri" w:hAnsi="Calibri" w:cs="Calibri"/>
          <w:b/>
          <w:bCs/>
        </w:rPr>
        <w:t>Перечень оборудования для модернизации системы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утилизации биологических отходов в 2012 году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Брянской области</w:t>
      </w:r>
      <w:proofErr w:type="gramEnd"/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20.12.2012 N 1192)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20"/>
      </w:tblGrid>
      <w:tr w:rsidR="00FF25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товара                </w:t>
            </w:r>
          </w:p>
        </w:tc>
      </w:tr>
      <w:tr w:rsidR="00FF257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Высокотехнологичное оборудование для модернизации</w:t>
            </w:r>
          </w:p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утилизации биологических отходов         </w:t>
            </w:r>
          </w:p>
        </w:tc>
      </w:tr>
    </w:tbl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сельскохозяйственным товаропроизводителям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мероприятий, направленных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предотвращение заноса и распространения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африканской чумы свиней, в рамках программы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"Предотвращение заноса и распространения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африканской чумы свиней (АЧС) на территории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Брянской области" (2012 - 2016 годы)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80"/>
      <w:bookmarkEnd w:id="12"/>
      <w:r>
        <w:rPr>
          <w:rFonts w:ascii="Calibri" w:hAnsi="Calibri" w:cs="Calibri"/>
          <w:b/>
          <w:bCs/>
        </w:rPr>
        <w:t>Приобретение, внедрение и поддержание системы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электронного учета идентификации животных в 2012 году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</w:tblGrid>
      <w:tr w:rsidR="00FF25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товара          </w:t>
            </w:r>
          </w:p>
        </w:tc>
      </w:tr>
      <w:tr w:rsidR="00FF25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Программный продукт по учету животных </w:t>
            </w:r>
          </w:p>
        </w:tc>
      </w:tr>
    </w:tbl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субсидий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сельскохозяйственным товаропроизводителям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мероприятий, направленных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предотвращение заноса и распространения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африканской чумы свиней, в рамках программы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"Предотвращение заноса и распространения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африканской чумы свиней (АЧС) на территории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Брянской области" (2012 - 2016 годы)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203"/>
      <w:bookmarkEnd w:id="13"/>
      <w:r>
        <w:rPr>
          <w:rFonts w:ascii="Calibri" w:hAnsi="Calibri" w:cs="Calibri"/>
        </w:rPr>
        <w:t>СПРАВКА-РАСЧЕТ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предоставление субсидий </w:t>
      </w:r>
      <w:proofErr w:type="gramStart"/>
      <w:r>
        <w:rPr>
          <w:rFonts w:ascii="Calibri" w:hAnsi="Calibri" w:cs="Calibri"/>
        </w:rPr>
        <w:t>сельскохозяйственным</w:t>
      </w:r>
      <w:proofErr w:type="gramEnd"/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товаропроизводителям для реализации мероприятий,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направленных</w:t>
      </w:r>
      <w:proofErr w:type="gramEnd"/>
      <w:r>
        <w:rPr>
          <w:rFonts w:ascii="Calibri" w:hAnsi="Calibri" w:cs="Calibri"/>
        </w:rPr>
        <w:t xml:space="preserve"> на предотвращение заноса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распространения африканской чумы свиней,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рамках программы "Предотвращение заноса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распространения африканской чумы свиней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(АЧС) на территории Брянской области"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(2012 - 2016 годы)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товаропроизводителя)</w:t>
      </w:r>
    </w:p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3000"/>
        <w:gridCol w:w="2880"/>
      </w:tblGrid>
      <w:tr w:rsidR="00FF257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выполненных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работ,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оборудования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произведенных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затрат, руб.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причитающихся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субсидий, руб.    </w:t>
            </w:r>
          </w:p>
        </w:tc>
      </w:tr>
      <w:tr w:rsidR="00FF25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25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257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577" w:rsidRDefault="00FF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F2577" w:rsidRDefault="00FF2577" w:rsidP="00FF25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2577" w:rsidRDefault="00FF2577" w:rsidP="00FF2577">
      <w:pPr>
        <w:pStyle w:val="ConsPlusNonformat"/>
      </w:pPr>
      <w:r>
        <w:t>Руководитель товаропроизводителя - получателя субсидий</w:t>
      </w:r>
    </w:p>
    <w:p w:rsidR="00FF2577" w:rsidRDefault="00FF2577" w:rsidP="00FF2577">
      <w:pPr>
        <w:pStyle w:val="ConsPlusNonformat"/>
      </w:pPr>
      <w:r>
        <w:t>____________________________________________</w:t>
      </w:r>
    </w:p>
    <w:p w:rsidR="00FF2577" w:rsidRDefault="00FF2577" w:rsidP="00FF2577">
      <w:pPr>
        <w:pStyle w:val="ConsPlusNonformat"/>
      </w:pPr>
      <w:r>
        <w:t xml:space="preserve">             (Ф.И.О., подпись)</w:t>
      </w:r>
    </w:p>
    <w:p w:rsidR="00FF2577" w:rsidRDefault="00FF2577" w:rsidP="00FF2577">
      <w:pPr>
        <w:pStyle w:val="ConsPlusNonformat"/>
      </w:pPr>
    </w:p>
    <w:p w:rsidR="00FF2577" w:rsidRDefault="00FF2577" w:rsidP="00FF2577">
      <w:pPr>
        <w:pStyle w:val="ConsPlusNonformat"/>
      </w:pPr>
      <w:r>
        <w:t>Главный бухгалтер товаропроизводителя - получателя субсидий</w:t>
      </w:r>
    </w:p>
    <w:p w:rsidR="00FF2577" w:rsidRDefault="00FF2577" w:rsidP="00FF2577">
      <w:pPr>
        <w:pStyle w:val="ConsPlusNonformat"/>
      </w:pPr>
      <w:r>
        <w:t>_______________________________________________</w:t>
      </w:r>
    </w:p>
    <w:p w:rsidR="00FF2577" w:rsidRDefault="00FF2577" w:rsidP="00FF2577">
      <w:pPr>
        <w:pStyle w:val="ConsPlusNonformat"/>
      </w:pPr>
      <w:r>
        <w:t xml:space="preserve">             (Ф.И.О., подпись)</w:t>
      </w:r>
    </w:p>
    <w:p w:rsidR="00FF2577" w:rsidRDefault="00FF2577" w:rsidP="00FF2577">
      <w:pPr>
        <w:pStyle w:val="ConsPlusNonformat"/>
      </w:pPr>
    </w:p>
    <w:p w:rsidR="00FF2577" w:rsidRDefault="00FF2577" w:rsidP="00FF2577">
      <w:pPr>
        <w:pStyle w:val="ConsPlusNonformat"/>
      </w:pPr>
      <w:r>
        <w:t>М.П. "___" ____________ 20___ г.</w:t>
      </w:r>
    </w:p>
    <w:p w:rsidR="004A6BF6" w:rsidRDefault="004A6BF6"/>
    <w:sectPr w:rsidR="004A6BF6" w:rsidSect="002579F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2577"/>
    <w:rsid w:val="004A6BF6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25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AB976EAB5F7E55D943DC849AA7024042C3FD5C27A9C4CB54958BB649B8AD7AE0686505B27308E731ECFYDcB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5AB976EAB5F7E55D943DC849AA7024042C3FD5C27A9C4CB54958BB649B8AD7AE0686505B27308E731ECFYDcBH" TargetMode="External"/><Relationship Id="rId12" Type="http://schemas.openxmlformats.org/officeDocument/2006/relationships/hyperlink" Target="consultantplus://offline/ref=1F5AB976EAB5F7E55D943DC849AA7024042C3FD5C2749148B24958BB649B8AD7AE0686505B27308E731CCDYDc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AB976EAB5F7E55D943DC849AA7024042C3FD5C2749148B24958BB649B8AD7AE0686505B27308E731CCDYDc9H" TargetMode="External"/><Relationship Id="rId11" Type="http://schemas.openxmlformats.org/officeDocument/2006/relationships/hyperlink" Target="consultantplus://offline/ref=1F5AB976EAB5F7E55D943DC849AA7024042C3FD5C2799E4DBD4958BB649B8AD7AE0686505B27308E731CCCYDcBH" TargetMode="External"/><Relationship Id="rId5" Type="http://schemas.openxmlformats.org/officeDocument/2006/relationships/hyperlink" Target="consultantplus://offline/ref=1F5AB976EAB5F7E55D9423C55FC62C29042361DBC5789218E91603E633928080E949DF121F2A318EY7c4H" TargetMode="External"/><Relationship Id="rId10" Type="http://schemas.openxmlformats.org/officeDocument/2006/relationships/hyperlink" Target="consultantplus://offline/ref=1F5AB976EAB5F7E55D9423C55FC62C29042567DDC97E9218E91603E633928080E949DF121F2A318FY7c0H" TargetMode="External"/><Relationship Id="rId4" Type="http://schemas.openxmlformats.org/officeDocument/2006/relationships/hyperlink" Target="consultantplus://offline/ref=1F5AB976EAB5F7E55D943DC849AA7024042C3FD5C2749148B24958BB649B8AD7AE0686505B27308E731CCDYDc9H" TargetMode="External"/><Relationship Id="rId9" Type="http://schemas.openxmlformats.org/officeDocument/2006/relationships/hyperlink" Target="consultantplus://offline/ref=1F5AB976EAB5F7E55D943DC849AA7024042C3FD5C2749148B24958BB649B8AD7AE0686505B27308E731CCDYDc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2855</Words>
  <Characters>16280</Characters>
  <Application>Microsoft Office Word</Application>
  <DocSecurity>0</DocSecurity>
  <Lines>135</Lines>
  <Paragraphs>38</Paragraphs>
  <ScaleCrop>false</ScaleCrop>
  <Company>*</Company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2013-10-16T07:27:00Z</dcterms:created>
  <dcterms:modified xsi:type="dcterms:W3CDTF">2013-10-16T07:28:00Z</dcterms:modified>
</cp:coreProperties>
</file>